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cs="Times New Roman"/>
          <w:b/>
          <w:sz w:val="20"/>
          <w:szCs w:val="20"/>
        </w:rPr>
      </w:pPr>
      <w:r>
        <w:rPr>
          <w:rFonts w:ascii="Times New Roman" w:hAnsi="Times New Roman" w:cs="Times New Roman"/>
          <w:b/>
          <w:sz w:val="20"/>
          <w:szCs w:val="20"/>
        </w:rPr>
        <w:t>PARTY CELL /BAC CUONG JUNIOR HIGH SCHOOL</w:t>
      </w:r>
    </w:p>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WORKING SCHEDULE  - WEEK 1</w:t>
      </w:r>
      <w:r>
        <w:rPr>
          <w:rFonts w:hint="default" w:ascii="Times New Roman" w:hAnsi="Times New Roman" w:cs="Times New Roman"/>
          <w:b/>
          <w:sz w:val="20"/>
          <w:szCs w:val="20"/>
          <w:lang w:val="en-US"/>
        </w:rPr>
        <w:t>5</w:t>
      </w:r>
      <w:r>
        <w:rPr>
          <w:rFonts w:ascii="Times New Roman" w:hAnsi="Times New Roman" w:cs="Times New Roman"/>
          <w:b/>
          <w:sz w:val="20"/>
          <w:szCs w:val="20"/>
        </w:rPr>
        <w:t xml:space="preserve"> (PROM </w:t>
      </w:r>
      <w:r>
        <w:rPr>
          <w:rFonts w:hint="default" w:ascii="Times New Roman" w:hAnsi="Times New Roman" w:cs="Times New Roman"/>
          <w:b/>
          <w:sz w:val="20"/>
          <w:szCs w:val="20"/>
          <w:lang w:val="en-US"/>
        </w:rPr>
        <w:t>12</w:t>
      </w:r>
      <w:r>
        <w:rPr>
          <w:rFonts w:ascii="Times New Roman" w:hAnsi="Times New Roman" w:cs="Times New Roman"/>
          <w:b/>
          <w:sz w:val="20"/>
          <w:szCs w:val="20"/>
        </w:rPr>
        <w:t xml:space="preserve">/11 TO </w:t>
      </w:r>
      <w:r>
        <w:rPr>
          <w:rFonts w:hint="default" w:ascii="Times New Roman" w:hAnsi="Times New Roman" w:cs="Times New Roman"/>
          <w:b/>
          <w:sz w:val="20"/>
          <w:szCs w:val="20"/>
          <w:lang w:val="en-US"/>
        </w:rPr>
        <w:t>18</w:t>
      </w:r>
      <w:bookmarkStart w:id="0" w:name="_GoBack"/>
      <w:bookmarkEnd w:id="0"/>
      <w:r>
        <w:rPr>
          <w:rFonts w:ascii="Times New Roman" w:hAnsi="Times New Roman" w:cs="Times New Roman"/>
          <w:b/>
          <w:sz w:val="20"/>
          <w:szCs w:val="20"/>
        </w:rPr>
        <w:t>/12)</w:t>
      </w:r>
    </w:p>
    <w:p>
      <w:pPr>
        <w:spacing w:after="0" w:line="240" w:lineRule="auto"/>
        <w:jc w:val="center"/>
        <w:rPr>
          <w:rFonts w:ascii="Times New Roman" w:hAnsi="Times New Roman" w:cs="Times New Roman"/>
          <w:b/>
          <w:sz w:val="20"/>
          <w:szCs w:val="20"/>
        </w:rPr>
      </w:pPr>
    </w:p>
    <w:tbl>
      <w:tblPr>
        <w:tblStyle w:val="4"/>
        <w:tblW w:w="15775" w:type="dxa"/>
        <w:tblInd w:w="-61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86"/>
        <w:gridCol w:w="7067"/>
        <w:gridCol w:w="2410"/>
        <w:gridCol w:w="2268"/>
        <w:gridCol w:w="747"/>
        <w:gridCol w:w="27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9" w:hRule="atLeast"/>
        </w:trPr>
        <w:tc>
          <w:tcPr>
            <w:tcW w:w="486" w:type="dxa"/>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7067" w:type="dxa"/>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Content</w:t>
            </w:r>
          </w:p>
        </w:tc>
        <w:tc>
          <w:tcPr>
            <w:tcW w:w="2410" w:type="dxa"/>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Duty Executor</w:t>
            </w:r>
          </w:p>
        </w:tc>
        <w:tc>
          <w:tcPr>
            <w:tcW w:w="2268" w:type="dxa"/>
            <w:vAlign w:val="center"/>
          </w:tcPr>
          <w:p>
            <w:pPr>
              <w:spacing w:after="0" w:line="240" w:lineRule="auto"/>
              <w:jc w:val="center"/>
              <w:rPr>
                <w:rFonts w:ascii="Times New Roman" w:hAnsi="Times New Roman" w:cs="Times New Roman"/>
                <w:b/>
                <w:spacing w:val="-10"/>
                <w:sz w:val="20"/>
                <w:szCs w:val="20"/>
              </w:rPr>
            </w:pPr>
            <w:r>
              <w:rPr>
                <w:rFonts w:ascii="Times New Roman" w:hAnsi="Times New Roman" w:cs="Times New Roman"/>
                <w:b/>
                <w:spacing w:val="-10"/>
                <w:sz w:val="20"/>
                <w:szCs w:val="20"/>
              </w:rPr>
              <w:t>Time</w:t>
            </w:r>
          </w:p>
        </w:tc>
        <w:tc>
          <w:tcPr>
            <w:tcW w:w="747" w:type="dxa"/>
            <w:vAlign w:val="center"/>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c>
          <w:tcPr>
            <w:tcW w:w="2797" w:type="dxa"/>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Ssessment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7067"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Tăng cường các hoạt động kiểm tra, giám sát việc thực hiện các nề nếp: Công tác Đội; đặc biệt nề nếp truy bài, hát đầu giờ, vệ sinh, ăn quà, mang điện thoại; kiểm tra đột xuất. Niêm yết công khai bộ tiêu chí chấm điểm thi đua tới tất cả các lớp, đảm bảo 100% HS biết các tiêu chí trừ điểm và thưởng điểm.</w:t>
            </w:r>
          </w:p>
        </w:tc>
        <w:tc>
          <w:tcPr>
            <w:tcW w:w="2410" w:type="dxa"/>
            <w:vAlign w:val="center"/>
          </w:tcPr>
          <w:p>
            <w:pPr>
              <w:spacing w:after="0" w:line="240" w:lineRule="auto"/>
              <w:rPr>
                <w:rFonts w:ascii="Times New Roman" w:hAnsi="Times New Roman" w:cs="Times New Roman"/>
                <w:spacing w:val="-4"/>
                <w:sz w:val="20"/>
                <w:szCs w:val="20"/>
              </w:rPr>
            </w:pPr>
            <w:r>
              <w:rPr>
                <w:rFonts w:ascii="Times New Roman" w:hAnsi="Times New Roman" w:cs="Times New Roman"/>
                <w:spacing w:val="-4"/>
                <w:sz w:val="20"/>
                <w:szCs w:val="20"/>
              </w:rPr>
              <w:t>CBQL, TTCM, TPT, trưởng các bộ phận</w:t>
            </w:r>
          </w:p>
        </w:tc>
        <w:tc>
          <w:tcPr>
            <w:tcW w:w="226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Thường xuyên trong tuần</w:t>
            </w:r>
          </w:p>
        </w:tc>
        <w:tc>
          <w:tcPr>
            <w:tcW w:w="747" w:type="dxa"/>
            <w:vAlign w:val="center"/>
          </w:tcPr>
          <w:p>
            <w:pPr>
              <w:spacing w:after="0" w:line="240" w:lineRule="auto"/>
              <w:jc w:val="center"/>
              <w:rPr>
                <w:rFonts w:ascii="Times New Roman" w:hAnsi="Times New Roman" w:cs="Times New Roman"/>
                <w:sz w:val="20"/>
                <w:szCs w:val="20"/>
              </w:rPr>
            </w:pPr>
          </w:p>
        </w:tc>
        <w:tc>
          <w:tcPr>
            <w:tcW w:w="2797" w:type="dxa"/>
            <w:vAlign w:val="center"/>
          </w:tcPr>
          <w:p>
            <w:pPr>
              <w:spacing w:after="0" w:line="240" w:lineRule="auto"/>
              <w:jc w:val="both"/>
              <w:rPr>
                <w:rFonts w:ascii="Times New Roman" w:hAnsi="Times New Roman" w:cs="Times New Roman"/>
                <w:sz w:val="16"/>
                <w:szCs w:val="16"/>
              </w:rPr>
            </w:pPr>
            <w:r>
              <w:rPr>
                <w:rFonts w:ascii="Times New Roman" w:hAnsi="Times New Roman" w:cs="Times New Roman"/>
                <w:sz w:val="16"/>
                <w:szCs w:val="16"/>
              </w:rPr>
              <w:t>TPT Đội tổ chức tập huấn kỹ năng vỗ tay cho các chi đội thông qua chi Đội trưởng.</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067"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Tổ chức thi lựa chọn đội tuyển HSG lớp 9 vòng 2</w:t>
            </w:r>
          </w:p>
        </w:tc>
        <w:tc>
          <w:tcPr>
            <w:tcW w:w="2410" w:type="dxa"/>
            <w:vAlign w:val="center"/>
          </w:tcPr>
          <w:p>
            <w:pPr>
              <w:spacing w:after="0" w:line="240" w:lineRule="auto"/>
              <w:rPr>
                <w:rFonts w:ascii="Times New Roman" w:hAnsi="Times New Roman" w:cs="Times New Roman"/>
                <w:spacing w:val="-4"/>
                <w:sz w:val="20"/>
                <w:szCs w:val="20"/>
              </w:rPr>
            </w:pPr>
            <w:r>
              <w:rPr>
                <w:rFonts w:ascii="Times New Roman" w:hAnsi="Times New Roman" w:cs="Times New Roman"/>
                <w:spacing w:val="-4"/>
                <w:sz w:val="20"/>
                <w:szCs w:val="20"/>
              </w:rPr>
              <w:t>CBQL, GV nhà trường</w:t>
            </w:r>
          </w:p>
        </w:tc>
        <w:tc>
          <w:tcPr>
            <w:tcW w:w="226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Ngày 13/12</w:t>
            </w:r>
          </w:p>
        </w:tc>
        <w:tc>
          <w:tcPr>
            <w:tcW w:w="747" w:type="dxa"/>
            <w:vAlign w:val="center"/>
          </w:tcPr>
          <w:p>
            <w:pPr>
              <w:spacing w:after="0" w:line="240" w:lineRule="auto"/>
              <w:jc w:val="center"/>
              <w:rPr>
                <w:rFonts w:ascii="Times New Roman" w:hAnsi="Times New Roman" w:cs="Times New Roman"/>
                <w:sz w:val="20"/>
                <w:szCs w:val="20"/>
              </w:rPr>
            </w:pPr>
          </w:p>
        </w:tc>
        <w:tc>
          <w:tcPr>
            <w:tcW w:w="2797" w:type="dxa"/>
            <w:vAlign w:val="center"/>
          </w:tcPr>
          <w:p>
            <w:pPr>
              <w:spacing w:after="0" w:line="240" w:lineRule="auto"/>
              <w:jc w:val="both"/>
              <w:rPr>
                <w:rFonts w:ascii="Times New Roman" w:hAnsi="Times New Roman" w:cs="Times New Roman"/>
                <w:sz w:val="16"/>
                <w:szCs w:val="16"/>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067"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Các Tổ chuyên môn duyệt và ban hành Đề cương kiểm tra học kỳ I; Tổ chức kiểm tra đánh giá đối với một số môn đã hoàn thành chương trình học kỳ I (Tiếp tục đổi mới hình thức kiểm tra đánh giá); </w:t>
            </w:r>
          </w:p>
        </w:tc>
        <w:tc>
          <w:tcPr>
            <w:tcW w:w="2410" w:type="dxa"/>
            <w:vAlign w:val="center"/>
          </w:tcPr>
          <w:p>
            <w:pPr>
              <w:spacing w:after="0" w:line="240" w:lineRule="auto"/>
              <w:rPr>
                <w:rFonts w:ascii="Times New Roman" w:hAnsi="Times New Roman" w:cs="Times New Roman"/>
                <w:spacing w:val="-4"/>
                <w:sz w:val="20"/>
                <w:szCs w:val="20"/>
              </w:rPr>
            </w:pPr>
            <w:r>
              <w:rPr>
                <w:rFonts w:ascii="Times New Roman" w:hAnsi="Times New Roman" w:cs="Times New Roman"/>
                <w:spacing w:val="-4"/>
                <w:sz w:val="20"/>
                <w:szCs w:val="20"/>
              </w:rPr>
              <w:t>BGH Chỉ đạo; TTCM đôn đốc, GVBM thực hiện</w:t>
            </w:r>
          </w:p>
        </w:tc>
        <w:tc>
          <w:tcPr>
            <w:tcW w:w="226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Xong trước ngày 15/12</w:t>
            </w:r>
          </w:p>
        </w:tc>
        <w:tc>
          <w:tcPr>
            <w:tcW w:w="747" w:type="dxa"/>
            <w:vAlign w:val="center"/>
          </w:tcPr>
          <w:p>
            <w:pPr>
              <w:spacing w:after="0" w:line="240" w:lineRule="auto"/>
              <w:jc w:val="center"/>
              <w:rPr>
                <w:rFonts w:ascii="Times New Roman" w:hAnsi="Times New Roman" w:cs="Times New Roman"/>
                <w:sz w:val="20"/>
                <w:szCs w:val="20"/>
              </w:rPr>
            </w:pPr>
          </w:p>
        </w:tc>
        <w:tc>
          <w:tcPr>
            <w:tcW w:w="2797" w:type="dxa"/>
            <w:vAlign w:val="center"/>
          </w:tcPr>
          <w:p>
            <w:pPr>
              <w:spacing w:after="0" w:line="240" w:lineRule="auto"/>
              <w:jc w:val="both"/>
              <w:rPr>
                <w:rFonts w:ascii="Times New Roman" w:hAnsi="Times New Roman" w:cs="Times New Roman"/>
                <w:sz w:val="16"/>
                <w:szCs w:val="16"/>
              </w:rPr>
            </w:pPr>
            <w:r>
              <w:rPr>
                <w:rFonts w:ascii="Times New Roman" w:hAnsi="Times New Roman" w:cs="Times New Roman"/>
                <w:sz w:val="16"/>
                <w:szCs w:val="16"/>
              </w:rPr>
              <w:t>TTCM triển khai sinh hoạt nhóm ngang; tổ chức thống nhất đề cường; TTCM duyệt đề trước khi duyệt BGH (Đảm bảo nguyên tắc Bảo Mật).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067"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Ban hành QD, kế hoạch triển tra nội bộ tháng 12 theo kế hoạch số 13 ngày 20/9 (Tiến hành kiểm tra HS tổ chuyên môn và Tổ hành chính); Kiểm tra hoạt động 3 công khai; Kiểm tra công tác quản lý hành chính (Hồ sơ con dấu, Hồ sơ y tế, lưu trữ VB)</w:t>
            </w:r>
          </w:p>
        </w:tc>
        <w:tc>
          <w:tcPr>
            <w:tcW w:w="2410" w:type="dxa"/>
            <w:vAlign w:val="center"/>
          </w:tcPr>
          <w:p>
            <w:pPr>
              <w:spacing w:after="0" w:line="240" w:lineRule="auto"/>
              <w:rPr>
                <w:rFonts w:ascii="Times New Roman" w:hAnsi="Times New Roman" w:cs="Times New Roman"/>
                <w:spacing w:val="-4"/>
                <w:sz w:val="20"/>
                <w:szCs w:val="20"/>
              </w:rPr>
            </w:pPr>
            <w:r>
              <w:rPr>
                <w:rFonts w:ascii="Times New Roman" w:hAnsi="Times New Roman" w:cs="Times New Roman"/>
                <w:spacing w:val="-4"/>
                <w:sz w:val="20"/>
                <w:szCs w:val="20"/>
              </w:rPr>
              <w:t>Đ/c Huệ chỉ đạo</w:t>
            </w:r>
          </w:p>
        </w:tc>
        <w:tc>
          <w:tcPr>
            <w:tcW w:w="226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Triển khai theo KH</w:t>
            </w:r>
          </w:p>
        </w:tc>
        <w:tc>
          <w:tcPr>
            <w:tcW w:w="747" w:type="dxa"/>
            <w:vAlign w:val="center"/>
          </w:tcPr>
          <w:p>
            <w:pPr>
              <w:spacing w:after="0" w:line="240" w:lineRule="auto"/>
              <w:jc w:val="center"/>
              <w:rPr>
                <w:rFonts w:ascii="Times New Roman" w:hAnsi="Times New Roman" w:cs="Times New Roman"/>
                <w:sz w:val="20"/>
                <w:szCs w:val="20"/>
              </w:rPr>
            </w:pPr>
          </w:p>
        </w:tc>
        <w:tc>
          <w:tcPr>
            <w:tcW w:w="2797" w:type="dxa"/>
            <w:vAlign w:val="center"/>
          </w:tcPr>
          <w:p>
            <w:pPr>
              <w:spacing w:after="0" w:line="240" w:lineRule="auto"/>
              <w:jc w:val="both"/>
              <w:rPr>
                <w:rFonts w:ascii="Times New Roman" w:hAnsi="Times New Roman" w:cs="Times New Roman"/>
                <w:sz w:val="16"/>
                <w:szCs w:val="16"/>
              </w:rPr>
            </w:pPr>
            <w:r>
              <w:rPr>
                <w:rFonts w:ascii="Times New Roman" w:hAnsi="Times New Roman" w:cs="Times New Roman"/>
                <w:sz w:val="16"/>
                <w:szCs w:val="16"/>
              </w:rPr>
              <w:object>
                <v:shape id="_x0000_i1025" o:spt="75" type="#_x0000_t75" style="height:49.7pt;width:76.05pt;" o:ole="t" filled="f" o:preferrelative="t" stroked="f" coordsize="21600,21600">
                  <v:path/>
                  <v:fill on="f" focussize="0,0"/>
                  <v:stroke on="f" joinstyle="miter"/>
                  <v:imagedata r:id="rId7" o:title=""/>
                  <o:lock v:ext="edit" aspectratio="t"/>
                  <w10:wrap type="none"/>
                  <w10:anchorlock/>
                </v:shape>
                <o:OLEObject Type="Embed" ProgID="FoxitReader.Document" ShapeID="_x0000_i1025" DrawAspect="Icon" ObjectID="_1468075725" r:id="rId6">
                  <o:LockedField>false</o:LockedField>
                </o:OLEObject>
              </w:objec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067" w:type="dxa"/>
            <w:vAlign w:val="center"/>
          </w:tcPr>
          <w:p>
            <w:pPr>
              <w:spacing w:after="0" w:line="240" w:lineRule="auto"/>
              <w:rPr>
                <w:rFonts w:hint="default" w:ascii="Times New Roman" w:hAnsi="Times New Roman" w:cs="Times New Roman"/>
                <w:sz w:val="20"/>
                <w:szCs w:val="20"/>
                <w:lang w:val="en-US"/>
              </w:rPr>
            </w:pPr>
            <w:r>
              <w:rPr>
                <w:rFonts w:ascii="Times New Roman" w:hAnsi="Times New Roman" w:cs="Times New Roman"/>
                <w:sz w:val="20"/>
                <w:szCs w:val="20"/>
              </w:rPr>
              <w:t xml:space="preserve">Các Tổ chuyên môn </w:t>
            </w:r>
            <w:r>
              <w:rPr>
                <w:rFonts w:ascii="Times New Roman" w:hAnsi="Times New Roman" w:cs="Times New Roman"/>
                <w:color w:val="0000FF"/>
                <w:sz w:val="20"/>
                <w:szCs w:val="20"/>
              </w:rPr>
              <w:t>t</w:t>
            </w:r>
            <w:r>
              <w:rPr>
                <w:rFonts w:ascii="Times New Roman" w:hAnsi="Times New Roman" w:cs="Times New Roman"/>
                <w:color w:val="0000FF"/>
                <w:sz w:val="20"/>
                <w:szCs w:val="20"/>
                <w:lang w:val="en-US"/>
              </w:rPr>
              <w:t>ổ</w:t>
            </w:r>
            <w:r>
              <w:rPr>
                <w:rFonts w:ascii="Times New Roman" w:hAnsi="Times New Roman" w:cs="Times New Roman"/>
                <w:color w:val="0000FF"/>
                <w:sz w:val="20"/>
                <w:szCs w:val="20"/>
              </w:rPr>
              <w:t xml:space="preserve"> </w:t>
            </w:r>
            <w:r>
              <w:rPr>
                <w:rFonts w:ascii="Times New Roman" w:hAnsi="Times New Roman" w:cs="Times New Roman"/>
                <w:sz w:val="20"/>
                <w:szCs w:val="20"/>
              </w:rPr>
              <w:t>chức đánh giá, rút kinh nghiệm kết quả phân tích chất lượng giữa học kỳ I</w:t>
            </w:r>
            <w:r>
              <w:rPr>
                <w:rFonts w:hint="default" w:ascii="Times New Roman" w:hAnsi="Times New Roman" w:cs="Times New Roman"/>
                <w:sz w:val="20"/>
                <w:szCs w:val="20"/>
                <w:lang w:val="en-US"/>
              </w:rPr>
              <w:t xml:space="preserve">. </w:t>
            </w:r>
            <w:r>
              <w:rPr>
                <w:rFonts w:hint="default" w:ascii="Times New Roman" w:hAnsi="Times New Roman" w:cs="Times New Roman"/>
                <w:color w:val="0000FF"/>
                <w:sz w:val="20"/>
                <w:szCs w:val="20"/>
                <w:lang w:val="en-US"/>
              </w:rPr>
              <w:t>Nộp báo cáo PTCL cho đ.c Huệ, ghi biên bản họp vào sổ ghi chép các cuộc họp của tổ CM</w:t>
            </w:r>
          </w:p>
        </w:tc>
        <w:tc>
          <w:tcPr>
            <w:tcW w:w="2410" w:type="dxa"/>
            <w:vAlign w:val="center"/>
          </w:tcPr>
          <w:p>
            <w:pPr>
              <w:spacing w:after="0" w:line="240" w:lineRule="auto"/>
              <w:rPr>
                <w:rFonts w:ascii="Times New Roman" w:hAnsi="Times New Roman" w:cs="Times New Roman"/>
                <w:spacing w:val="-4"/>
                <w:sz w:val="20"/>
                <w:szCs w:val="20"/>
              </w:rPr>
            </w:pPr>
            <w:r>
              <w:rPr>
                <w:rFonts w:ascii="Times New Roman" w:hAnsi="Times New Roman" w:cs="Times New Roman"/>
                <w:spacing w:val="-4"/>
                <w:sz w:val="20"/>
                <w:szCs w:val="20"/>
              </w:rPr>
              <w:t>TTCM 3 tổ</w:t>
            </w:r>
          </w:p>
        </w:tc>
        <w:tc>
          <w:tcPr>
            <w:tcW w:w="226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Xong trước ngày 16/12</w:t>
            </w:r>
          </w:p>
        </w:tc>
        <w:tc>
          <w:tcPr>
            <w:tcW w:w="747" w:type="dxa"/>
            <w:vAlign w:val="center"/>
          </w:tcPr>
          <w:p>
            <w:pPr>
              <w:spacing w:after="0" w:line="240" w:lineRule="auto"/>
              <w:jc w:val="center"/>
              <w:rPr>
                <w:rFonts w:ascii="Times New Roman" w:hAnsi="Times New Roman" w:cs="Times New Roman"/>
                <w:sz w:val="20"/>
                <w:szCs w:val="20"/>
              </w:rPr>
            </w:pPr>
          </w:p>
        </w:tc>
        <w:tc>
          <w:tcPr>
            <w:tcW w:w="2797" w:type="dxa"/>
            <w:vAlign w:val="center"/>
          </w:tcPr>
          <w:p>
            <w:pPr>
              <w:spacing w:after="0" w:line="240" w:lineRule="auto"/>
              <w:jc w:val="both"/>
              <w:rPr>
                <w:rFonts w:ascii="Times New Roman" w:hAnsi="Times New Roman" w:cs="Times New Roman"/>
                <w:sz w:val="16"/>
                <w:szCs w:val="16"/>
              </w:rPr>
            </w:pPr>
            <w:r>
              <w:rPr>
                <w:rFonts w:ascii="Times New Roman" w:hAnsi="Times New Roman" w:cs="Times New Roman"/>
                <w:sz w:val="16"/>
                <w:szCs w:val="16"/>
              </w:rPr>
              <w:t>Lồng ghép Họp tổng kết đánh giá kết quả tổ chuyên môn.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7067" w:type="dxa"/>
            <w:vAlign w:val="center"/>
          </w:tcPr>
          <w:p>
            <w:pPr>
              <w:spacing w:after="0" w:line="240" w:lineRule="auto"/>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Hoàn thiện hội giảng cấp trường (yêu cầu hoàn thiện đầy đủ hồ sơ minh chứng, xếp loại)</w:t>
            </w:r>
          </w:p>
        </w:tc>
        <w:tc>
          <w:tcPr>
            <w:tcW w:w="2410" w:type="dxa"/>
            <w:vAlign w:val="center"/>
          </w:tcPr>
          <w:p>
            <w:pPr>
              <w:spacing w:after="0" w:line="240" w:lineRule="auto"/>
              <w:rPr>
                <w:rFonts w:ascii="Times New Roman" w:hAnsi="Times New Roman" w:cs="Times New Roman"/>
                <w:spacing w:val="-4"/>
                <w:sz w:val="20"/>
                <w:szCs w:val="20"/>
              </w:rPr>
            </w:pPr>
            <w:r>
              <w:rPr>
                <w:rFonts w:ascii="Times New Roman" w:hAnsi="Times New Roman" w:cs="Times New Roman"/>
                <w:sz w:val="20"/>
                <w:szCs w:val="20"/>
              </w:rPr>
              <w:t>Đ/c Huệ chỉ đạo; Các TTCM thực hiện</w:t>
            </w:r>
          </w:p>
        </w:tc>
        <w:tc>
          <w:tcPr>
            <w:tcW w:w="226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Nộp SP trước 15/12</w:t>
            </w:r>
          </w:p>
        </w:tc>
        <w:tc>
          <w:tcPr>
            <w:tcW w:w="747" w:type="dxa"/>
            <w:vAlign w:val="center"/>
          </w:tcPr>
          <w:p>
            <w:pPr>
              <w:spacing w:after="0" w:line="240" w:lineRule="auto"/>
              <w:jc w:val="center"/>
              <w:rPr>
                <w:rFonts w:ascii="Times New Roman" w:hAnsi="Times New Roman" w:cs="Times New Roman"/>
                <w:sz w:val="20"/>
                <w:szCs w:val="20"/>
              </w:rPr>
            </w:pPr>
          </w:p>
        </w:tc>
        <w:tc>
          <w:tcPr>
            <w:tcW w:w="2797" w:type="dxa"/>
            <w:vAlign w:val="center"/>
          </w:tcPr>
          <w:p>
            <w:pPr>
              <w:spacing w:after="0" w:line="240" w:lineRule="auto"/>
              <w:rPr>
                <w:rFonts w:hint="default" w:ascii="Times New Roman" w:hAnsi="Times New Roman" w:cs="Times New Roman"/>
                <w:sz w:val="16"/>
                <w:szCs w:val="16"/>
                <w:lang w:val="en-US"/>
              </w:rPr>
            </w:pPr>
            <w:r>
              <w:rPr>
                <w:rFonts w:hint="default" w:ascii="Times New Roman" w:hAnsi="Times New Roman" w:cs="Times New Roman"/>
                <w:sz w:val="16"/>
                <w:szCs w:val="16"/>
                <w:lang w:val="en-US"/>
              </w:rPr>
              <w:t>Còn tổ SHĐ chưa nộp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8</w:t>
            </w:r>
          </w:p>
        </w:tc>
        <w:tc>
          <w:tcPr>
            <w:tcW w:w="7067" w:type="dxa"/>
            <w:vAlign w:val="center"/>
          </w:tcPr>
          <w:p>
            <w:pPr>
              <w:spacing w:after="0" w:line="240" w:lineRule="auto"/>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Tổng kết công tác hội giảng và Hội thảo đổi mới phương pháp hình thức dạy học, đổi mới kiểm tra đánh giá và triển khai bộ đồ dùng dạy học số</w:t>
            </w:r>
          </w:p>
        </w:tc>
        <w:tc>
          <w:tcPr>
            <w:tcW w:w="2410" w:type="dxa"/>
            <w:vAlign w:val="center"/>
          </w:tcPr>
          <w:p>
            <w:pPr>
              <w:spacing w:after="0" w:line="240" w:lineRule="auto"/>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Đ/c Huệ chỉ đạo; Các TTCM thực hiện.</w:t>
            </w:r>
          </w:p>
        </w:tc>
        <w:tc>
          <w:tcPr>
            <w:tcW w:w="2268" w:type="dxa"/>
          </w:tcPr>
          <w:p>
            <w:pPr>
              <w:spacing w:after="0" w:line="240" w:lineRule="auto"/>
              <w:rPr>
                <w:rFonts w:ascii="Times New Roman" w:hAnsi="Times New Roman" w:cs="Times New Roman"/>
                <w:sz w:val="20"/>
                <w:szCs w:val="20"/>
              </w:rPr>
            </w:pPr>
            <w:r>
              <w:rPr>
                <w:rFonts w:ascii="Times New Roman" w:hAnsi="Times New Roman" w:cs="Times New Roman"/>
                <w:color w:val="000000" w:themeColor="text1"/>
                <w:sz w:val="20"/>
                <w:szCs w:val="20"/>
                <w14:textFill>
                  <w14:solidFill>
                    <w14:schemeClr w14:val="tx1"/>
                  </w14:solidFill>
                </w14:textFill>
              </w:rPr>
              <w:t>Trong tuần (Dự kiến)</w:t>
            </w:r>
          </w:p>
        </w:tc>
        <w:tc>
          <w:tcPr>
            <w:tcW w:w="747" w:type="dxa"/>
            <w:vAlign w:val="center"/>
          </w:tcPr>
          <w:p>
            <w:pPr>
              <w:spacing w:after="0" w:line="240" w:lineRule="auto"/>
              <w:jc w:val="center"/>
              <w:rPr>
                <w:rFonts w:ascii="Times New Roman" w:hAnsi="Times New Roman" w:cs="Times New Roman"/>
                <w:sz w:val="20"/>
                <w:szCs w:val="20"/>
              </w:rPr>
            </w:pPr>
          </w:p>
        </w:tc>
        <w:tc>
          <w:tcPr>
            <w:tcW w:w="2797"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Tiếp tục hoàn thiện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Tổ chức sinh hoạt chuyên môn theo NCBH tiết học dạy học kết nối, ứng dụng Công nghệ thực thế ảo </w:t>
            </w:r>
            <w:r>
              <w:rPr>
                <w:rFonts w:ascii="Times New Roman" w:hAnsi="Times New Roman" w:cs="Times New Roman"/>
                <w:i/>
                <w:color w:val="000000" w:themeColor="text1"/>
                <w:sz w:val="20"/>
                <w:szCs w:val="20"/>
                <w14:textFill>
                  <w14:solidFill>
                    <w14:schemeClr w14:val="tx1"/>
                  </w14:solidFill>
                </w14:textFill>
              </w:rPr>
              <w:t>(Yêu cầu kết nối với Vật Lại, Nậm Cang, Nội trú Bảo Thắng, 1 trường học ngoài nước)</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Huệ chỉ đạo; Tổ tiếng Anh tham mưu; Đ/c Kiên văn hỗ trợ</w:t>
            </w:r>
          </w:p>
        </w:tc>
        <w:tc>
          <w:tcPr>
            <w:tcW w:w="2268" w:type="dxa"/>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sz w:val="20"/>
                <w:szCs w:val="20"/>
              </w:rPr>
            </w:pPr>
          </w:p>
        </w:tc>
        <w:tc>
          <w:tcPr>
            <w:tcW w:w="2797"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Đ/c Quỳnh TTCM khẩn trương triển khai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Nghiên cứu học tập mô hình tư vấn học đường tại THCS Ngô Văn Sở và hoàn thiện phòng tư vấn học đường, hộp thư góp ý</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BGH chủ trì</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Ngày 13/12</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9" w:hRule="atLeast"/>
        </w:trPr>
        <w:tc>
          <w:tcPr>
            <w:tcW w:w="486" w:type="dxa"/>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Tổ chức tư vấn, bổ sung và hoàn thiện sản phẩm NCKH cấp tỉnh</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Huệ chỉ đạo; 5GV có sản phẩm tham gia</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Ngày 13/12</w:t>
            </w:r>
          </w:p>
          <w:p>
            <w:pPr>
              <w:spacing w:after="0" w:line="240" w:lineRule="auto"/>
              <w:rPr>
                <w:rFonts w:ascii="Times New Roman" w:hAnsi="Times New Roman" w:cs="Times New Roman"/>
                <w:color w:val="000000" w:themeColor="text1"/>
                <w:sz w:val="20"/>
                <w:szCs w:val="20"/>
                <w14:textFill>
                  <w14:solidFill>
                    <w14:schemeClr w14:val="tx1"/>
                  </w14:solidFill>
                </w14:textFill>
              </w:rPr>
            </w:pP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Dự kiến mời chuyên gia (GV trường THPT chuyên Lào Cai).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9"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12</w:t>
            </w:r>
          </w:p>
        </w:tc>
        <w:tc>
          <w:tcPr>
            <w:tcW w:w="7067" w:type="dxa"/>
            <w:vAlign w:val="center"/>
          </w:tcPr>
          <w:p>
            <w:pPr>
              <w:spacing w:after="0" w:line="240" w:lineRule="auto"/>
              <w:rPr>
                <w:rFonts w:hint="default" w:ascii="Times New Roman" w:hAnsi="Times New Roman" w:cs="Times New Roman"/>
                <w:color w:val="0000FF"/>
                <w:sz w:val="20"/>
                <w:szCs w:val="20"/>
                <w:lang w:val="en-US"/>
              </w:rPr>
            </w:pPr>
            <w:r>
              <w:rPr>
                <w:rFonts w:hint="default" w:ascii="Times New Roman" w:hAnsi="Times New Roman" w:cs="Times New Roman"/>
                <w:color w:val="0000FF"/>
                <w:sz w:val="20"/>
                <w:szCs w:val="20"/>
                <w:lang w:val="en-US"/>
              </w:rPr>
              <w:t>Nộp sản phẩm nghiên cứu khoa học cấp tỉnh</w:t>
            </w:r>
          </w:p>
        </w:tc>
        <w:tc>
          <w:tcPr>
            <w:tcW w:w="2410" w:type="dxa"/>
            <w:vAlign w:val="center"/>
          </w:tcPr>
          <w:p>
            <w:pPr>
              <w:spacing w:after="0" w:line="240" w:lineRule="auto"/>
              <w:rPr>
                <w:rFonts w:hint="default" w:ascii="Times New Roman" w:hAnsi="Times New Roman" w:cs="Times New Roman"/>
                <w:color w:val="0000FF"/>
                <w:sz w:val="20"/>
                <w:szCs w:val="20"/>
                <w:lang w:val="en-US"/>
              </w:rPr>
            </w:pPr>
            <w:r>
              <w:rPr>
                <w:rFonts w:hint="default" w:ascii="Times New Roman" w:hAnsi="Times New Roman" w:cs="Times New Roman"/>
                <w:color w:val="0000FF"/>
                <w:sz w:val="20"/>
                <w:szCs w:val="20"/>
                <w:lang w:val="en-US"/>
              </w:rPr>
              <w:t xml:space="preserve">GVHS HS chủ động nộp bản cứng và bản mềm cho đ.c Huệ </w:t>
            </w:r>
          </w:p>
        </w:tc>
        <w:tc>
          <w:tcPr>
            <w:tcW w:w="2268" w:type="dxa"/>
            <w:vAlign w:val="center"/>
          </w:tcPr>
          <w:p>
            <w:pPr>
              <w:spacing w:after="0" w:line="240" w:lineRule="auto"/>
              <w:rPr>
                <w:rFonts w:ascii="Times New Roman" w:hAnsi="Times New Roman" w:cs="Times New Roman"/>
                <w:color w:val="0000FF"/>
                <w:sz w:val="20"/>
                <w:szCs w:val="20"/>
              </w:rPr>
            </w:pPr>
            <w:r>
              <w:rPr>
                <w:rFonts w:hint="default" w:ascii="Times New Roman" w:hAnsi="Times New Roman" w:cs="Times New Roman"/>
                <w:color w:val="0000FF"/>
                <w:sz w:val="20"/>
                <w:szCs w:val="20"/>
                <w:lang w:val="en-US"/>
              </w:rPr>
              <w:t>Trước 18/12</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9"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13</w:t>
            </w:r>
          </w:p>
        </w:tc>
        <w:tc>
          <w:tcPr>
            <w:tcW w:w="7067" w:type="dxa"/>
            <w:vAlign w:val="center"/>
          </w:tcPr>
          <w:p>
            <w:pPr>
              <w:spacing w:after="0" w:line="240" w:lineRule="auto"/>
              <w:rPr>
                <w:rFonts w:hint="default" w:ascii="Times New Roman" w:hAnsi="Times New Roman" w:cs="Times New Roman"/>
                <w:color w:val="0000FF"/>
                <w:sz w:val="20"/>
                <w:szCs w:val="20"/>
                <w:lang w:val="en-US"/>
              </w:rPr>
            </w:pPr>
            <w:r>
              <w:rPr>
                <w:rFonts w:hint="default" w:ascii="Times New Roman" w:hAnsi="Times New Roman" w:cs="Times New Roman"/>
                <w:color w:val="0000FF"/>
                <w:sz w:val="20"/>
                <w:szCs w:val="20"/>
                <w:lang w:val="en-US"/>
              </w:rPr>
              <w:t>Đề xuất giải pháp nâng cao chất lượng thi HSG  bộ môn toán, Hoá</w:t>
            </w:r>
          </w:p>
        </w:tc>
        <w:tc>
          <w:tcPr>
            <w:tcW w:w="2410" w:type="dxa"/>
            <w:vAlign w:val="center"/>
          </w:tcPr>
          <w:p>
            <w:pPr>
              <w:spacing w:after="0" w:line="240" w:lineRule="auto"/>
              <w:rPr>
                <w:rFonts w:hint="default" w:ascii="Times New Roman" w:hAnsi="Times New Roman" w:cs="Times New Roman"/>
                <w:color w:val="0000FF"/>
                <w:sz w:val="20"/>
                <w:szCs w:val="20"/>
                <w:lang w:val="en-US"/>
              </w:rPr>
            </w:pPr>
            <w:r>
              <w:rPr>
                <w:rFonts w:hint="default" w:ascii="Times New Roman" w:hAnsi="Times New Roman" w:cs="Times New Roman"/>
                <w:color w:val="0000FF"/>
                <w:sz w:val="20"/>
                <w:szCs w:val="20"/>
                <w:lang w:val="en-US"/>
              </w:rPr>
              <w:t>TTCM chỉ đạo nhóm GV toán, Hoá</w:t>
            </w:r>
          </w:p>
        </w:tc>
        <w:tc>
          <w:tcPr>
            <w:tcW w:w="2268" w:type="dxa"/>
            <w:vAlign w:val="center"/>
          </w:tcPr>
          <w:p>
            <w:pPr>
              <w:spacing w:after="0" w:line="240" w:lineRule="auto"/>
              <w:rPr>
                <w:rFonts w:hint="default" w:ascii="Times New Roman" w:hAnsi="Times New Roman" w:cs="Times New Roman"/>
                <w:color w:val="0000FF"/>
                <w:sz w:val="20"/>
                <w:szCs w:val="20"/>
                <w:lang w:val="en-US"/>
              </w:rPr>
            </w:pPr>
            <w:r>
              <w:rPr>
                <w:rFonts w:hint="default" w:ascii="Times New Roman" w:hAnsi="Times New Roman" w:cs="Times New Roman"/>
                <w:color w:val="0000FF"/>
                <w:sz w:val="20"/>
                <w:szCs w:val="20"/>
                <w:lang w:val="en-US"/>
              </w:rPr>
              <w:t>Trước 16/12</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9"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14</w:t>
            </w:r>
          </w:p>
        </w:tc>
        <w:tc>
          <w:tcPr>
            <w:tcW w:w="7067" w:type="dxa"/>
            <w:vAlign w:val="center"/>
          </w:tcPr>
          <w:p>
            <w:pPr>
              <w:spacing w:after="0" w:line="240" w:lineRule="auto"/>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Phân luồng HS lớp 9 lần 2</w:t>
            </w:r>
          </w:p>
        </w:tc>
        <w:tc>
          <w:tcPr>
            <w:tcW w:w="2410" w:type="dxa"/>
            <w:vAlign w:val="center"/>
          </w:tcPr>
          <w:p>
            <w:pPr>
              <w:spacing w:after="0" w:line="240" w:lineRule="auto"/>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GVCN lớp 9</w:t>
            </w:r>
          </w:p>
        </w:tc>
        <w:tc>
          <w:tcPr>
            <w:tcW w:w="2268" w:type="dxa"/>
            <w:vAlign w:val="center"/>
          </w:tcPr>
          <w:p>
            <w:pPr>
              <w:spacing w:after="0" w:line="240" w:lineRule="auto"/>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Trước 18/12</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 xml:space="preserve">Nhà trường chia sẻ biểu mẫu phân luồng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r>
              <w:rPr>
                <w:rFonts w:hint="default" w:ascii="Times New Roman" w:hAnsi="Times New Roman" w:cs="Times New Roman"/>
                <w:color w:val="000000" w:themeColor="text1"/>
                <w:sz w:val="20"/>
                <w:szCs w:val="20"/>
                <w:lang w:val="en-US"/>
                <w14:textFill>
                  <w14:solidFill>
                    <w14:schemeClr w14:val="tx1"/>
                  </w14:solidFill>
                </w14:textFill>
              </w:rPr>
              <w:t>5</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Dự thảo kế hoạch cho HS đạt giải kỳ thi HSG lớp 9 và các HS có thành tích cao trong học kỳ I đi trải nghiệm, báo công tại Hà Nội</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HT chủ trì chỉ đạo</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Xong trước ngày 16/12</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9"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r>
              <w:rPr>
                <w:rFonts w:hint="default" w:ascii="Times New Roman" w:hAnsi="Times New Roman" w:cs="Times New Roman"/>
                <w:color w:val="000000" w:themeColor="text1"/>
                <w:sz w:val="20"/>
                <w:szCs w:val="20"/>
                <w:lang w:val="en-US"/>
                <w14:textFill>
                  <w14:solidFill>
                    <w14:schemeClr w14:val="tx1"/>
                  </w14:solidFill>
                </w14:textFill>
              </w:rPr>
              <w:t>6</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Triển khai các HĐ 1,2,34 trong kế hoạch chủ điểm tháng 12</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Ngọc chủ trì; TPT Đội triển khai và tham mưu</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 Duyệt Chương trình chi tiết từng HĐ trước khi triển khai</w:t>
            </w:r>
            <w:r>
              <w:rPr>
                <w:rFonts w:ascii="Times New Roman" w:hAnsi="Times New Roman" w:cs="Times New Roman"/>
                <w:color w:val="000000" w:themeColor="text1"/>
                <w:sz w:val="20"/>
                <w:szCs w:val="20"/>
                <w14:textFill>
                  <w14:solidFill>
                    <w14:schemeClr w14:val="tx1"/>
                  </w14:solidFill>
                </w14:textFill>
              </w:rPr>
              <w:object>
                <v:shape id="_x0000_i1026" o:spt="75" type="#_x0000_t75" style="height:17.25pt;width:122.7pt;" o:ole="t" filled="f" o:preferrelative="t" stroked="f" coordsize="21600,21600">
                  <v:path/>
                  <v:fill on="f" focussize="0,0"/>
                  <v:stroke on="f" joinstyle="miter"/>
                  <v:imagedata r:id="rId9" o:title=""/>
                  <o:lock v:ext="edit" aspectratio="t"/>
                  <w10:wrap type="none"/>
                  <w10:anchorlock/>
                </v:shape>
                <o:OLEObject Type="Embed" ProgID="FoxitReader.Document" ShapeID="_x0000_i1026" DrawAspect="Icon" ObjectID="_1468075726" r:id="rId8">
                  <o:LockedField>false</o:LockedField>
                </o:OLEObject>
              </w:objec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FF"/>
                <w:sz w:val="20"/>
                <w:szCs w:val="20"/>
                <w:lang w:val="en-US"/>
              </w:rPr>
            </w:pPr>
            <w:r>
              <w:rPr>
                <w:rFonts w:ascii="Times New Roman" w:hAnsi="Times New Roman" w:cs="Times New Roman"/>
                <w:color w:val="0000FF"/>
                <w:sz w:val="20"/>
                <w:szCs w:val="20"/>
              </w:rPr>
              <w:t>1</w:t>
            </w:r>
            <w:r>
              <w:rPr>
                <w:rFonts w:hint="default" w:ascii="Times New Roman" w:hAnsi="Times New Roman" w:cs="Times New Roman"/>
                <w:color w:val="0000FF"/>
                <w:sz w:val="20"/>
                <w:szCs w:val="20"/>
                <w:lang w:val="en-US"/>
              </w:rPr>
              <w:t>7</w:t>
            </w:r>
          </w:p>
        </w:tc>
        <w:tc>
          <w:tcPr>
            <w:tcW w:w="7067" w:type="dxa"/>
            <w:vAlign w:val="center"/>
          </w:tcPr>
          <w:p>
            <w:pPr>
              <w:spacing w:after="0" w:line="240" w:lineRule="auto"/>
              <w:rPr>
                <w:rFonts w:hint="default" w:ascii="Times New Roman" w:hAnsi="Times New Roman" w:cs="Times New Roman"/>
                <w:color w:val="0000FF"/>
                <w:sz w:val="20"/>
                <w:szCs w:val="20"/>
                <w:lang w:val="en-US"/>
              </w:rPr>
            </w:pPr>
            <w:r>
              <w:rPr>
                <w:rFonts w:ascii="Times New Roman" w:hAnsi="Times New Roman" w:cs="Times New Roman"/>
                <w:color w:val="0000FF"/>
                <w:sz w:val="20"/>
                <w:szCs w:val="20"/>
              </w:rPr>
              <w:t>Kiểm soát tình hình ôn thi HSG lớp 6,7,8 (Lập danh sách;</w:t>
            </w:r>
            <w:r>
              <w:rPr>
                <w:rFonts w:hint="default" w:ascii="Times New Roman" w:hAnsi="Times New Roman" w:cs="Times New Roman"/>
                <w:color w:val="0000FF"/>
                <w:sz w:val="20"/>
                <w:szCs w:val="20"/>
                <w:lang w:val="en-US"/>
              </w:rPr>
              <w:t xml:space="preserve"> GV BD tự </w:t>
            </w:r>
            <w:r>
              <w:rPr>
                <w:rFonts w:ascii="Times New Roman" w:hAnsi="Times New Roman" w:cs="Times New Roman"/>
                <w:color w:val="0000FF"/>
                <w:sz w:val="20"/>
                <w:szCs w:val="20"/>
              </w:rPr>
              <w:t xml:space="preserve"> tổ chức khảo sá</w:t>
            </w:r>
            <w:r>
              <w:rPr>
                <w:rFonts w:hint="default" w:ascii="Times New Roman" w:hAnsi="Times New Roman" w:cs="Times New Roman"/>
                <w:color w:val="0000FF"/>
                <w:sz w:val="20"/>
                <w:szCs w:val="20"/>
                <w:lang w:val="en-US"/>
              </w:rPr>
              <w:t>t đội tuyển)</w:t>
            </w:r>
          </w:p>
        </w:tc>
        <w:tc>
          <w:tcPr>
            <w:tcW w:w="2410" w:type="dxa"/>
            <w:vAlign w:val="center"/>
          </w:tcPr>
          <w:p>
            <w:pPr>
              <w:spacing w:after="0" w:line="240" w:lineRule="auto"/>
              <w:rPr>
                <w:rFonts w:ascii="Times New Roman" w:hAnsi="Times New Roman" w:cs="Times New Roman"/>
                <w:color w:val="0000FF"/>
                <w:sz w:val="20"/>
                <w:szCs w:val="20"/>
              </w:rPr>
            </w:pPr>
            <w:r>
              <w:rPr>
                <w:rFonts w:ascii="Times New Roman" w:hAnsi="Times New Roman" w:cs="Times New Roman"/>
                <w:color w:val="0000FF"/>
                <w:sz w:val="20"/>
                <w:szCs w:val="20"/>
              </w:rPr>
              <w:t>Đ/c Huệ chỉ đạo; GV ôn Đội tuyển</w:t>
            </w:r>
          </w:p>
        </w:tc>
        <w:tc>
          <w:tcPr>
            <w:tcW w:w="2268" w:type="dxa"/>
            <w:vAlign w:val="center"/>
          </w:tcPr>
          <w:p>
            <w:pPr>
              <w:spacing w:after="0" w:line="240" w:lineRule="auto"/>
              <w:rPr>
                <w:rFonts w:hint="default" w:ascii="Times New Roman" w:hAnsi="Times New Roman" w:cs="Times New Roman"/>
                <w:color w:val="0000FF"/>
                <w:sz w:val="20"/>
                <w:szCs w:val="20"/>
                <w:lang w:val="en-US"/>
              </w:rPr>
            </w:pPr>
            <w:r>
              <w:rPr>
                <w:rFonts w:hint="default" w:ascii="Times New Roman" w:hAnsi="Times New Roman" w:cs="Times New Roman"/>
                <w:color w:val="0000FF"/>
                <w:sz w:val="20"/>
                <w:szCs w:val="20"/>
                <w:lang w:val="en-US"/>
              </w:rPr>
              <w:t>14h ngày 16/12</w:t>
            </w:r>
          </w:p>
        </w:tc>
        <w:tc>
          <w:tcPr>
            <w:tcW w:w="747" w:type="dxa"/>
            <w:vAlign w:val="center"/>
          </w:tcPr>
          <w:p>
            <w:pPr>
              <w:spacing w:after="0" w:line="240" w:lineRule="auto"/>
              <w:jc w:val="center"/>
              <w:rPr>
                <w:rFonts w:ascii="Times New Roman" w:hAnsi="Times New Roman" w:cs="Times New Roman"/>
                <w:b/>
                <w:color w:val="0000FF"/>
                <w:sz w:val="20"/>
                <w:szCs w:val="20"/>
              </w:rPr>
            </w:pPr>
          </w:p>
        </w:tc>
        <w:tc>
          <w:tcPr>
            <w:tcW w:w="2797" w:type="dxa"/>
            <w:vAlign w:val="center"/>
          </w:tcPr>
          <w:p>
            <w:pPr>
              <w:spacing w:after="0" w:line="240" w:lineRule="auto"/>
              <w:rPr>
                <w:rFonts w:hint="default" w:ascii="Times New Roman" w:hAnsi="Times New Roman" w:cs="Times New Roman"/>
                <w:color w:val="0000FF"/>
                <w:sz w:val="16"/>
                <w:szCs w:val="16"/>
                <w:lang w:val="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r>
              <w:rPr>
                <w:rFonts w:hint="default" w:ascii="Times New Roman" w:hAnsi="Times New Roman" w:cs="Times New Roman"/>
                <w:color w:val="000000" w:themeColor="text1"/>
                <w:sz w:val="20"/>
                <w:szCs w:val="20"/>
                <w:lang w:val="en-US"/>
                <w14:textFill>
                  <w14:solidFill>
                    <w14:schemeClr w14:val="tx1"/>
                  </w14:solidFill>
                </w14:textFill>
              </w:rPr>
              <w:t>8</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Câu lạc bộ chia sẻ yêu thương chuẩn bị các điều kiện để đi thiện nguyện tại trường TH&amp;THCS xã Nậm Cang dự kiến ngày 21/12</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Ngọc chủ trì</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Xong trước 22/12</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w:t>
            </w:r>
            <w:r>
              <w:rPr>
                <w:rFonts w:hint="default" w:ascii="Times New Roman" w:hAnsi="Times New Roman" w:cs="Times New Roman"/>
                <w:color w:val="000000" w:themeColor="text1"/>
                <w:sz w:val="20"/>
                <w:szCs w:val="20"/>
                <w:lang w:val="en-US"/>
                <w14:textFill>
                  <w14:solidFill>
                    <w14:schemeClr w14:val="tx1"/>
                  </w14:solidFill>
                </w14:textFill>
              </w:rPr>
              <w:t>9</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Ban hành kế hoạch tổ chức giải thi đấu thể thao chào mừng ngày thành lập đoàn 26/3 Chủ đề “Tiếp bước lên Đoàn”</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HT Chỉ đạo; Ban Chủ nhiệm CLB Thể thao tham mưu</w:t>
            </w:r>
          </w:p>
        </w:tc>
        <w:tc>
          <w:tcPr>
            <w:tcW w:w="2268" w:type="dxa"/>
            <w:vAlign w:val="center"/>
          </w:tcPr>
          <w:p>
            <w:pPr>
              <w:spacing w:after="0" w:line="240" w:lineRule="auto"/>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20</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Ban hành kế hoạch tổ chức ngày hội “STEM và giáo dục hướng nghiệp, phân luồng cho học sinh THCS năm 2024” với chủ đề STEM “Bay và sự chuyển động”</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sz w:val="20"/>
                <w:szCs w:val="20"/>
              </w:rPr>
              <w:t>HT Chỉ đạo; Ban Chủ nhiệm STEM tham mưu</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jc w:val="both"/>
              <w:rPr>
                <w:rFonts w:ascii="Times New Roman" w:hAnsi="Times New Roman" w:cs="Times New Roman"/>
                <w:color w:val="000000" w:themeColor="text1"/>
                <w:sz w:val="16"/>
                <w:szCs w:val="16"/>
                <w:highlight w:val="green"/>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21</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Khẩn trương triển khai thu học phí chi trả lương cho giáo viên</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Trang tham mưu</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both"/>
              <w:rPr>
                <w:rFonts w:hint="default" w:ascii="Times New Roman" w:hAnsi="Times New Roman" w:cs="Times New Roman"/>
                <w:color w:val="000000" w:themeColor="text1"/>
                <w:sz w:val="20"/>
                <w:szCs w:val="20"/>
                <w:lang w:val="en-US"/>
                <w14:textFill>
                  <w14:solidFill>
                    <w14:schemeClr w14:val="tx1"/>
                  </w14:solidFill>
                </w14:textFill>
              </w:rPr>
            </w:pPr>
            <w:r>
              <w:rPr>
                <w:rFonts w:hint="default" w:ascii="Times New Roman" w:hAnsi="Times New Roman" w:cs="Times New Roman"/>
                <w:color w:val="000000" w:themeColor="text1"/>
                <w:sz w:val="20"/>
                <w:szCs w:val="20"/>
                <w:lang w:val="en-US"/>
                <w14:textFill>
                  <w14:solidFill>
                    <w14:schemeClr w14:val="tx1"/>
                  </w14:solidFill>
                </w14:textFill>
              </w:rPr>
              <w:t>22</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Triển khai thí điểm giải pháp thu không dùng tiền mặt tại một số khối lớp</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Trang tham mưu</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16"/>
                <w:szCs w:val="16"/>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r>
              <w:rPr>
                <w:rFonts w:hint="default" w:ascii="Times New Roman" w:hAnsi="Times New Roman" w:cs="Times New Roman"/>
                <w:color w:val="000000" w:themeColor="text1"/>
                <w:sz w:val="20"/>
                <w:szCs w:val="20"/>
                <w:lang w:val="en-US"/>
                <w14:textFill>
                  <w14:solidFill>
                    <w14:schemeClr w14:val="tx1"/>
                  </w14:solidFill>
                </w14:textFill>
              </w:rPr>
              <w:t>3</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Hoàn thiện việc hợp đồng nhân viên y tế trường học</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Trang tham mưu</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FF"/>
                <w:sz w:val="20"/>
                <w:szCs w:val="20"/>
                <w:lang w:val="en-US"/>
              </w:rPr>
            </w:pPr>
            <w:r>
              <w:rPr>
                <w:rFonts w:ascii="Times New Roman" w:hAnsi="Times New Roman" w:cs="Times New Roman"/>
                <w:color w:val="0000FF"/>
                <w:sz w:val="20"/>
                <w:szCs w:val="20"/>
              </w:rPr>
              <w:t>2</w:t>
            </w:r>
            <w:r>
              <w:rPr>
                <w:rFonts w:hint="default" w:ascii="Times New Roman" w:hAnsi="Times New Roman" w:cs="Times New Roman"/>
                <w:color w:val="0000FF"/>
                <w:sz w:val="20"/>
                <w:szCs w:val="20"/>
                <w:lang w:val="en-US"/>
              </w:rPr>
              <w:t>4</w:t>
            </w:r>
          </w:p>
        </w:tc>
        <w:tc>
          <w:tcPr>
            <w:tcW w:w="7067" w:type="dxa"/>
            <w:vAlign w:val="center"/>
          </w:tcPr>
          <w:p>
            <w:pPr>
              <w:spacing w:after="0" w:line="240" w:lineRule="auto"/>
              <w:rPr>
                <w:rFonts w:ascii="Times New Roman" w:hAnsi="Times New Roman" w:cs="Times New Roman"/>
                <w:color w:val="0000FF"/>
                <w:sz w:val="20"/>
                <w:szCs w:val="20"/>
              </w:rPr>
            </w:pPr>
            <w:r>
              <w:rPr>
                <w:rFonts w:ascii="Times New Roman" w:hAnsi="Times New Roman" w:cs="Times New Roman"/>
                <w:color w:val="0000FF"/>
                <w:sz w:val="20"/>
                <w:szCs w:val="20"/>
              </w:rPr>
              <w:t>Chuẩn bị các điều kiện tổ chức tổng kết đánh giá các thành viên trong tổ chuyên môn</w:t>
            </w:r>
          </w:p>
        </w:tc>
        <w:tc>
          <w:tcPr>
            <w:tcW w:w="2410" w:type="dxa"/>
            <w:vAlign w:val="center"/>
          </w:tcPr>
          <w:p>
            <w:pPr>
              <w:spacing w:after="0" w:line="240" w:lineRule="auto"/>
              <w:rPr>
                <w:rFonts w:ascii="Times New Roman" w:hAnsi="Times New Roman" w:cs="Times New Roman"/>
                <w:color w:val="0000FF"/>
                <w:sz w:val="20"/>
                <w:szCs w:val="20"/>
              </w:rPr>
            </w:pPr>
            <w:r>
              <w:rPr>
                <w:rFonts w:ascii="Times New Roman" w:hAnsi="Times New Roman" w:cs="Times New Roman"/>
                <w:color w:val="0000FF"/>
                <w:sz w:val="20"/>
                <w:szCs w:val="20"/>
              </w:rPr>
              <w:t>Các Tổ trưởng chuyên môn</w:t>
            </w:r>
          </w:p>
        </w:tc>
        <w:tc>
          <w:tcPr>
            <w:tcW w:w="2268" w:type="dxa"/>
            <w:vAlign w:val="center"/>
          </w:tcPr>
          <w:p>
            <w:pPr>
              <w:spacing w:after="0" w:line="240" w:lineRule="auto"/>
              <w:rPr>
                <w:rFonts w:ascii="Times New Roman" w:hAnsi="Times New Roman" w:cs="Times New Roman"/>
                <w:color w:val="0000FF"/>
                <w:sz w:val="20"/>
                <w:szCs w:val="20"/>
              </w:rPr>
            </w:pPr>
            <w:r>
              <w:rPr>
                <w:rFonts w:ascii="Times New Roman" w:hAnsi="Times New Roman" w:cs="Times New Roman"/>
                <w:color w:val="0000FF"/>
                <w:sz w:val="20"/>
                <w:szCs w:val="20"/>
              </w:rPr>
              <w:t>Trong tuần</w:t>
            </w:r>
          </w:p>
        </w:tc>
        <w:tc>
          <w:tcPr>
            <w:tcW w:w="747" w:type="dxa"/>
            <w:vAlign w:val="center"/>
          </w:tcPr>
          <w:p>
            <w:pPr>
              <w:spacing w:after="0" w:line="240" w:lineRule="auto"/>
              <w:jc w:val="center"/>
              <w:rPr>
                <w:rFonts w:ascii="Times New Roman" w:hAnsi="Times New Roman" w:cs="Times New Roman"/>
                <w:b/>
                <w:color w:val="0000FF"/>
                <w:sz w:val="20"/>
                <w:szCs w:val="20"/>
              </w:rPr>
            </w:pPr>
          </w:p>
        </w:tc>
        <w:tc>
          <w:tcPr>
            <w:tcW w:w="2797" w:type="dxa"/>
            <w:vAlign w:val="center"/>
          </w:tcPr>
          <w:p>
            <w:pPr>
              <w:spacing w:after="0" w:line="240" w:lineRule="auto"/>
              <w:rPr>
                <w:rFonts w:ascii="Times New Roman" w:hAnsi="Times New Roman" w:cs="Times New Roman"/>
                <w:color w:val="0000FF"/>
                <w:sz w:val="16"/>
                <w:szCs w:val="16"/>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r>
              <w:rPr>
                <w:rFonts w:hint="default" w:ascii="Times New Roman" w:hAnsi="Times New Roman" w:cs="Times New Roman"/>
                <w:color w:val="000000" w:themeColor="text1"/>
                <w:sz w:val="20"/>
                <w:szCs w:val="20"/>
                <w:lang w:val="en-US"/>
                <w14:textFill>
                  <w14:solidFill>
                    <w14:schemeClr w14:val="tx1"/>
                  </w14:solidFill>
                </w14:textFill>
              </w:rPr>
              <w:t>5</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Hoàn thiện phiếu thông thông tin theo mẫu đã triển khai gắn với tài khoản trên Website; Triển khai thư viện số trên Website</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HT chỉ đạo; Đ/c Yến, Đ/c Hùng tham mưu</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Tồn tuần trước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r>
              <w:rPr>
                <w:rFonts w:hint="default" w:ascii="Times New Roman" w:hAnsi="Times New Roman" w:cs="Times New Roman"/>
                <w:color w:val="000000" w:themeColor="text1"/>
                <w:sz w:val="20"/>
                <w:szCs w:val="20"/>
                <w:lang w:val="en-US"/>
                <w14:textFill>
                  <w14:solidFill>
                    <w14:schemeClr w14:val="tx1"/>
                  </w14:solidFill>
                </w14:textFill>
              </w:rPr>
              <w:t>6</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Xây dựng kế hoạch tổ chức Hội thảo chuyển đổi số trong giáo dục; hoàn thiện minh chứng đánh giá mức độ chuyển đổi số trong GD đối trường THCS Bắc Cường</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Đ/c HT chỉ đạo; Tổ CĐS và Quản trị HS điện tử</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Tồn tuần trước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w:t>
            </w:r>
            <w:r>
              <w:rPr>
                <w:rFonts w:hint="default" w:ascii="Times New Roman" w:hAnsi="Times New Roman" w:cs="Times New Roman"/>
                <w:color w:val="000000" w:themeColor="text1"/>
                <w:sz w:val="20"/>
                <w:szCs w:val="20"/>
                <w:lang w:val="en-US"/>
                <w14:textFill>
                  <w14:solidFill>
                    <w14:schemeClr w14:val="tx1"/>
                  </w14:solidFill>
                </w14:textFill>
              </w:rPr>
              <w:t>7</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Xây dựng kế hoạch, lên ý trưởng triển khai câu lạc bộ Nghệ thuật của nhà trường </w:t>
            </w:r>
          </w:p>
        </w:tc>
        <w:tc>
          <w:tcPr>
            <w:tcW w:w="2410"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sz w:val="20"/>
                <w:szCs w:val="20"/>
              </w:rPr>
              <w:t>Đ/c Hà A + Hà C tham mưu.</w:t>
            </w:r>
          </w:p>
        </w:tc>
        <w:tc>
          <w:tcPr>
            <w:tcW w:w="2268"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Trong tuần</w:t>
            </w:r>
          </w:p>
        </w:tc>
        <w:tc>
          <w:tcPr>
            <w:tcW w:w="747" w:type="dxa"/>
            <w:vAlign w:val="center"/>
          </w:tcPr>
          <w:p>
            <w:pPr>
              <w:spacing w:after="0" w:line="240" w:lineRule="auto"/>
              <w:jc w:val="center"/>
              <w:rPr>
                <w:rFonts w:ascii="Times New Roman" w:hAnsi="Times New Roman" w:cs="Times New Roman"/>
                <w:b/>
                <w:color w:val="000000" w:themeColor="text1"/>
                <w:sz w:val="20"/>
                <w:szCs w:val="20"/>
                <w14:textFill>
                  <w14:solidFill>
                    <w14:schemeClr w14:val="tx1"/>
                  </w14:solidFill>
                </w14:textFill>
              </w:rPr>
            </w:pPr>
          </w:p>
        </w:tc>
        <w:tc>
          <w:tcPr>
            <w:tcW w:w="279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Tồn tuần trước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sz w:val="20"/>
                <w:szCs w:val="20"/>
                <w:lang w:val="en-US"/>
              </w:rPr>
            </w:pPr>
            <w:r>
              <w:rPr>
                <w:rFonts w:ascii="Times New Roman" w:hAnsi="Times New Roman" w:cs="Times New Roman"/>
                <w:sz w:val="20"/>
                <w:szCs w:val="20"/>
              </w:rPr>
              <w:t>2</w:t>
            </w:r>
            <w:r>
              <w:rPr>
                <w:rFonts w:hint="default" w:ascii="Times New Roman" w:hAnsi="Times New Roman" w:cs="Times New Roman"/>
                <w:sz w:val="20"/>
                <w:szCs w:val="20"/>
                <w:lang w:val="en-US"/>
              </w:rPr>
              <w:t>8</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Tổng hợp các tên các Sáng kiến của giáo viên triển khai; chuẩn bị tư vấn HD viết sáng kiến năm học 2023-2024</w:t>
            </w:r>
          </w:p>
        </w:tc>
        <w:tc>
          <w:tcPr>
            <w:tcW w:w="2410"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Đ/c Ngọc chỉ đạo; TTCM đôn đốc; GV thực hiện</w:t>
            </w:r>
          </w:p>
        </w:tc>
        <w:tc>
          <w:tcPr>
            <w:tcW w:w="2268" w:type="dxa"/>
            <w:vAlign w:val="center"/>
          </w:tcPr>
          <w:p>
            <w:pPr>
              <w:spacing w:after="0" w:line="240" w:lineRule="auto"/>
              <w:rPr>
                <w:rFonts w:ascii="Times New Roman" w:hAnsi="Times New Roman" w:cs="Times New Roman"/>
                <w:sz w:val="20"/>
                <w:szCs w:val="20"/>
              </w:rPr>
            </w:pPr>
            <w:r>
              <w:rPr>
                <w:rFonts w:ascii="Times New Roman" w:hAnsi="Times New Roman" w:cs="Times New Roman"/>
                <w:sz w:val="20"/>
                <w:szCs w:val="20"/>
              </w:rPr>
              <w:t>Trong tuần</w:t>
            </w:r>
          </w:p>
        </w:tc>
        <w:tc>
          <w:tcPr>
            <w:tcW w:w="747" w:type="dxa"/>
            <w:vAlign w:val="center"/>
          </w:tcPr>
          <w:p>
            <w:pPr>
              <w:spacing w:after="0" w:line="240" w:lineRule="auto"/>
              <w:jc w:val="center"/>
              <w:rPr>
                <w:rFonts w:ascii="Times New Roman" w:hAnsi="Times New Roman" w:cs="Times New Roman"/>
                <w:b/>
                <w:sz w:val="20"/>
                <w:szCs w:val="20"/>
              </w:rPr>
            </w:pPr>
          </w:p>
        </w:tc>
        <w:tc>
          <w:tcPr>
            <w:tcW w:w="2797" w:type="dxa"/>
            <w:vAlign w:val="center"/>
          </w:tcPr>
          <w:p>
            <w:pPr>
              <w:spacing w:after="0" w:line="240" w:lineRule="auto"/>
              <w:rPr>
                <w:rFonts w:ascii="Times New Roman" w:hAnsi="Times New Roman" w:cs="Times New Roman"/>
                <w:sz w:val="20"/>
                <w:szCs w:val="20"/>
              </w:rPr>
            </w:pPr>
            <w:r>
              <w:rPr>
                <w:rFonts w:ascii="Times New Roman" w:hAnsi="Times New Roman" w:cs="Times New Roman"/>
                <w:color w:val="000000" w:themeColor="text1"/>
                <w:sz w:val="16"/>
                <w:szCs w:val="16"/>
                <w14:textFill>
                  <w14:solidFill>
                    <w14:schemeClr w14:val="tx1"/>
                  </w14:solidFill>
                </w14:textFill>
              </w:rPr>
              <w:t>Tồn tuần trước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486" w:type="dxa"/>
            <w:vAlign w:val="center"/>
          </w:tcPr>
          <w:p>
            <w:pPr>
              <w:spacing w:after="0" w:line="240" w:lineRule="auto"/>
              <w:jc w:val="center"/>
              <w:rPr>
                <w:rFonts w:hint="default" w:ascii="Times New Roman" w:hAnsi="Times New Roman" w:cs="Times New Roman"/>
                <w:sz w:val="20"/>
                <w:szCs w:val="20"/>
                <w:lang w:val="en-US"/>
              </w:rPr>
            </w:pPr>
            <w:r>
              <w:rPr>
                <w:rFonts w:ascii="Times New Roman" w:hAnsi="Times New Roman" w:cs="Times New Roman"/>
                <w:sz w:val="20"/>
                <w:szCs w:val="20"/>
              </w:rPr>
              <w:t>2</w:t>
            </w:r>
            <w:r>
              <w:rPr>
                <w:rFonts w:hint="default" w:ascii="Times New Roman" w:hAnsi="Times New Roman" w:cs="Times New Roman"/>
                <w:sz w:val="20"/>
                <w:szCs w:val="20"/>
                <w:lang w:val="en-US"/>
              </w:rPr>
              <w:t>9</w:t>
            </w:r>
          </w:p>
        </w:tc>
        <w:tc>
          <w:tcPr>
            <w:tcW w:w="7067" w:type="dxa"/>
            <w:vAlign w:val="center"/>
          </w:tcPr>
          <w:p>
            <w:pPr>
              <w:spacing w:after="0" w:line="240" w:lineRule="auto"/>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Chi bộ, Công Đoàn, CTĐ hoàn thiện hồ sơ tổng kết năm theo chỉ đạo; nộp đùng thới gian quy định</w:t>
            </w:r>
          </w:p>
        </w:tc>
        <w:tc>
          <w:tcPr>
            <w:tcW w:w="2410" w:type="dxa"/>
            <w:vAlign w:val="center"/>
          </w:tcPr>
          <w:p>
            <w:pPr>
              <w:spacing w:after="0" w:line="240" w:lineRule="auto"/>
              <w:rPr>
                <w:rFonts w:ascii="Times New Roman" w:hAnsi="Times New Roman" w:cs="Times New Roman"/>
                <w:sz w:val="20"/>
                <w:szCs w:val="20"/>
              </w:rPr>
            </w:pPr>
          </w:p>
        </w:tc>
        <w:tc>
          <w:tcPr>
            <w:tcW w:w="2268" w:type="dxa"/>
            <w:vAlign w:val="center"/>
          </w:tcPr>
          <w:p>
            <w:pPr>
              <w:spacing w:after="0" w:line="240" w:lineRule="auto"/>
              <w:rPr>
                <w:rFonts w:ascii="Times New Roman" w:hAnsi="Times New Roman" w:cs="Times New Roman"/>
                <w:sz w:val="20"/>
                <w:szCs w:val="20"/>
              </w:rPr>
            </w:pPr>
          </w:p>
        </w:tc>
        <w:tc>
          <w:tcPr>
            <w:tcW w:w="747" w:type="dxa"/>
            <w:vAlign w:val="center"/>
          </w:tcPr>
          <w:p>
            <w:pPr>
              <w:spacing w:after="0" w:line="240" w:lineRule="auto"/>
              <w:jc w:val="center"/>
              <w:rPr>
                <w:rFonts w:ascii="Times New Roman" w:hAnsi="Times New Roman" w:cs="Times New Roman"/>
                <w:b/>
                <w:sz w:val="20"/>
                <w:szCs w:val="20"/>
              </w:rPr>
            </w:pPr>
          </w:p>
        </w:tc>
        <w:tc>
          <w:tcPr>
            <w:tcW w:w="2797" w:type="dxa"/>
            <w:vAlign w:val="center"/>
          </w:tcPr>
          <w:p>
            <w:pPr>
              <w:spacing w:after="0" w:line="240" w:lineRule="auto"/>
              <w:rPr>
                <w:rFonts w:ascii="Times New Roman" w:hAnsi="Times New Roman" w:cs="Times New Roman"/>
                <w:sz w:val="20"/>
                <w:szCs w:val="20"/>
              </w:rPr>
            </w:pPr>
          </w:p>
        </w:tc>
      </w:tr>
    </w:tbl>
    <w:p>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Lưu ý: Các công việc phát sinh sẽ được triển khai khi có chỉ đạo cấp trên, các CV mang tính thường xuyên không đưa vào kế hoạch.                 </w:t>
      </w:r>
      <w:r>
        <w:rPr>
          <w:rFonts w:ascii="Times New Roman" w:hAnsi="Times New Roman" w:cs="Times New Roman"/>
          <w:b/>
          <w:sz w:val="20"/>
          <w:szCs w:val="20"/>
        </w:rPr>
        <w:t>BÍ THƯ/HIỆU TRƯỞNG</w:t>
      </w:r>
      <w:r>
        <w:rPr>
          <w:rFonts w:ascii="Times New Roman" w:hAnsi="Times New Roman" w:cs="Times New Roman"/>
          <w:sz w:val="20"/>
          <w:szCs w:val="20"/>
        </w:rPr>
        <w:t xml:space="preserve">   </w:t>
      </w:r>
      <w:r>
        <w:rPr>
          <w:rFonts w:ascii="Times New Roman" w:hAnsi="Times New Roman" w:cs="Times New Roman"/>
          <w:i/>
          <w:sz w:val="20"/>
          <w:szCs w:val="20"/>
        </w:rPr>
        <w:t xml:space="preserve">                                                                                                                                                                                                                </w:t>
      </w:r>
    </w:p>
    <w:p>
      <w:pPr>
        <w:spacing w:after="0" w:line="240" w:lineRule="auto"/>
        <w:jc w:val="both"/>
        <w:rPr>
          <w:rFonts w:ascii="Times New Roman" w:hAnsi="Times New Roman" w:cs="Times New Roman"/>
          <w:sz w:val="2"/>
          <w:szCs w:val="20"/>
        </w:rPr>
      </w:pPr>
      <w:r>
        <w:rPr>
          <w:rFonts w:ascii="Times New Roman" w:hAnsi="Times New Roman" w:cs="Times New Roman"/>
          <w:i/>
          <w:sz w:val="20"/>
          <w:szCs w:val="20"/>
        </w:rPr>
        <w:t xml:space="preserve">                                                                                                                                                                                                           </w:t>
      </w:r>
    </w:p>
    <w:p>
      <w:pPr>
        <w:spacing w:after="0" w:line="240" w:lineRule="auto"/>
        <w:ind w:left="12960" w:hanging="12240"/>
        <w:rPr>
          <w:rFonts w:ascii="Times New Roman" w:hAnsi="Times New Roman" w:cs="Times New Roman"/>
          <w:i/>
          <w:spacing w:val="-14"/>
          <w:sz w:val="2"/>
          <w:szCs w:val="20"/>
        </w:rPr>
      </w:pPr>
      <w:r>
        <w:rPr>
          <w:rFonts w:ascii="Times New Roman" w:hAnsi="Times New Roman" w:cs="Times New Roman"/>
          <w:i/>
          <w:spacing w:val="-14"/>
          <w:sz w:val="20"/>
          <w:szCs w:val="20"/>
        </w:rPr>
        <w:t xml:space="preserve">                                                                                                                                                                                                                                                                                        </w:t>
      </w:r>
    </w:p>
    <w:p>
      <w:pPr>
        <w:spacing w:after="0" w:line="240" w:lineRule="auto"/>
        <w:ind w:left="12960" w:hanging="12240"/>
        <w:rPr>
          <w:rFonts w:ascii="Times New Roman" w:hAnsi="Times New Roman" w:cs="Times New Roman"/>
          <w:i/>
          <w:spacing w:val="-14"/>
          <w:sz w:val="16"/>
          <w:szCs w:val="16"/>
        </w:rPr>
      </w:pPr>
      <w:r>
        <w:rPr>
          <w:rFonts w:ascii="Times New Roman" w:hAnsi="Times New Roman" w:cs="Times New Roman"/>
          <w:i/>
          <w:spacing w:val="-14"/>
          <w:sz w:val="20"/>
          <w:szCs w:val="20"/>
        </w:rPr>
        <w:t xml:space="preserve">                                                                                                                                                                                                                                                                                                                                       </w:t>
      </w:r>
      <w:r>
        <w:rPr>
          <w:rFonts w:ascii="Times New Roman" w:hAnsi="Times New Roman" w:cs="Times New Roman"/>
          <w:i/>
          <w:spacing w:val="-14"/>
          <w:sz w:val="16"/>
          <w:szCs w:val="16"/>
        </w:rPr>
        <w:t>(Đã ký)</w:t>
      </w:r>
    </w:p>
    <w:p>
      <w:pPr>
        <w:spacing w:after="0" w:line="240" w:lineRule="auto"/>
        <w:rPr>
          <w:rFonts w:ascii="Times New Roman" w:hAnsi="Times New Roman" w:cs="Times New Roman"/>
          <w:iCs/>
          <w:spacing w:val="-4"/>
          <w:sz w:val="20"/>
          <w:szCs w:val="20"/>
        </w:rPr>
      </w:pPr>
      <w:r>
        <w:rPr>
          <w:rFonts w:ascii="Times New Roman" w:hAnsi="Times New Roman" w:cs="Times New Roman"/>
          <w:b/>
          <w:sz w:val="20"/>
          <w:szCs w:val="20"/>
        </w:rPr>
        <w:t xml:space="preserve">                                                                                                                                                                                                                                           Nguyễn Xuân Hường</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tabs>
          <w:tab w:val="left" w:pos="4274"/>
        </w:tabs>
        <w:rPr>
          <w:rFonts w:ascii="Times New Roman" w:hAnsi="Times New Roman" w:cs="Times New Roman"/>
          <w:sz w:val="20"/>
          <w:szCs w:val="20"/>
        </w:rPr>
      </w:pPr>
      <w:r>
        <w:rPr>
          <w:rFonts w:ascii="Times New Roman" w:hAnsi="Times New Roman" w:cs="Times New Roman"/>
          <w:sz w:val="20"/>
          <w:szCs w:val="20"/>
        </w:rPr>
        <w:tab/>
      </w: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p>
      <w:pPr>
        <w:tabs>
          <w:tab w:val="left" w:pos="4274"/>
        </w:tabs>
        <w:rPr>
          <w:rFonts w:ascii="Times New Roman" w:hAnsi="Times New Roman" w:cs="Times New Roman"/>
          <w:sz w:val="20"/>
          <w:szCs w:val="20"/>
        </w:rPr>
      </w:pPr>
    </w:p>
    <w:sectPr>
      <w:pgSz w:w="16840" w:h="11907" w:orient="landscape"/>
      <w:pgMar w:top="709" w:right="964" w:bottom="1135" w:left="907"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04C"/>
    <w:rsid w:val="00002888"/>
    <w:rsid w:val="0001070A"/>
    <w:rsid w:val="00014D66"/>
    <w:rsid w:val="000306F9"/>
    <w:rsid w:val="00033DDD"/>
    <w:rsid w:val="00055C78"/>
    <w:rsid w:val="000679AA"/>
    <w:rsid w:val="000719C9"/>
    <w:rsid w:val="0008036D"/>
    <w:rsid w:val="00085250"/>
    <w:rsid w:val="00086D01"/>
    <w:rsid w:val="0009737A"/>
    <w:rsid w:val="000A0357"/>
    <w:rsid w:val="000B2A48"/>
    <w:rsid w:val="000C19A1"/>
    <w:rsid w:val="000D27F9"/>
    <w:rsid w:val="000D75CD"/>
    <w:rsid w:val="000E0AEE"/>
    <w:rsid w:val="000E27A5"/>
    <w:rsid w:val="000E6348"/>
    <w:rsid w:val="000F1036"/>
    <w:rsid w:val="000F4C7D"/>
    <w:rsid w:val="000F4EB5"/>
    <w:rsid w:val="00104733"/>
    <w:rsid w:val="001145AB"/>
    <w:rsid w:val="0012113F"/>
    <w:rsid w:val="00123A44"/>
    <w:rsid w:val="001265A8"/>
    <w:rsid w:val="00126DCB"/>
    <w:rsid w:val="00141B8F"/>
    <w:rsid w:val="00167E1A"/>
    <w:rsid w:val="00182E89"/>
    <w:rsid w:val="00187F60"/>
    <w:rsid w:val="00196E48"/>
    <w:rsid w:val="001A1B87"/>
    <w:rsid w:val="001A6492"/>
    <w:rsid w:val="001C2460"/>
    <w:rsid w:val="001C25DD"/>
    <w:rsid w:val="001C36D8"/>
    <w:rsid w:val="001C5473"/>
    <w:rsid w:val="001C79B6"/>
    <w:rsid w:val="001D16C2"/>
    <w:rsid w:val="001D18A9"/>
    <w:rsid w:val="001E6E73"/>
    <w:rsid w:val="001E7163"/>
    <w:rsid w:val="001F48EF"/>
    <w:rsid w:val="00201DEE"/>
    <w:rsid w:val="00240293"/>
    <w:rsid w:val="00262671"/>
    <w:rsid w:val="00263411"/>
    <w:rsid w:val="00266F4F"/>
    <w:rsid w:val="0028018A"/>
    <w:rsid w:val="00285870"/>
    <w:rsid w:val="0028776F"/>
    <w:rsid w:val="0029073B"/>
    <w:rsid w:val="00293839"/>
    <w:rsid w:val="002A4C67"/>
    <w:rsid w:val="002B7D29"/>
    <w:rsid w:val="002E78D4"/>
    <w:rsid w:val="002E7B9E"/>
    <w:rsid w:val="0030227B"/>
    <w:rsid w:val="00307F07"/>
    <w:rsid w:val="003171BE"/>
    <w:rsid w:val="0033012A"/>
    <w:rsid w:val="003447F4"/>
    <w:rsid w:val="00356E03"/>
    <w:rsid w:val="00375A22"/>
    <w:rsid w:val="003806C3"/>
    <w:rsid w:val="00385D11"/>
    <w:rsid w:val="003869C6"/>
    <w:rsid w:val="00386F00"/>
    <w:rsid w:val="00393574"/>
    <w:rsid w:val="003A208A"/>
    <w:rsid w:val="003A2955"/>
    <w:rsid w:val="003B419B"/>
    <w:rsid w:val="003B5490"/>
    <w:rsid w:val="003C2E96"/>
    <w:rsid w:val="003F5D38"/>
    <w:rsid w:val="00412E48"/>
    <w:rsid w:val="0042154F"/>
    <w:rsid w:val="004216E3"/>
    <w:rsid w:val="00440599"/>
    <w:rsid w:val="00444129"/>
    <w:rsid w:val="004623C0"/>
    <w:rsid w:val="00475EF4"/>
    <w:rsid w:val="00481035"/>
    <w:rsid w:val="004B5B6E"/>
    <w:rsid w:val="004B7A0B"/>
    <w:rsid w:val="004D06F6"/>
    <w:rsid w:val="004D3862"/>
    <w:rsid w:val="004D4281"/>
    <w:rsid w:val="004E49FD"/>
    <w:rsid w:val="004E5F07"/>
    <w:rsid w:val="004F3F01"/>
    <w:rsid w:val="004F7354"/>
    <w:rsid w:val="00501AB1"/>
    <w:rsid w:val="00502D78"/>
    <w:rsid w:val="00510629"/>
    <w:rsid w:val="00517070"/>
    <w:rsid w:val="00517359"/>
    <w:rsid w:val="00520CED"/>
    <w:rsid w:val="00521B46"/>
    <w:rsid w:val="00526627"/>
    <w:rsid w:val="00537E8C"/>
    <w:rsid w:val="00576208"/>
    <w:rsid w:val="0057675F"/>
    <w:rsid w:val="00580F54"/>
    <w:rsid w:val="00581BC5"/>
    <w:rsid w:val="00586C92"/>
    <w:rsid w:val="005A51BD"/>
    <w:rsid w:val="005A63EC"/>
    <w:rsid w:val="005C13AE"/>
    <w:rsid w:val="005C44CD"/>
    <w:rsid w:val="005D57BE"/>
    <w:rsid w:val="005E3FAD"/>
    <w:rsid w:val="005E78E2"/>
    <w:rsid w:val="006056B2"/>
    <w:rsid w:val="00640EE1"/>
    <w:rsid w:val="006561FB"/>
    <w:rsid w:val="00657895"/>
    <w:rsid w:val="006620EC"/>
    <w:rsid w:val="00677CFF"/>
    <w:rsid w:val="00691A2D"/>
    <w:rsid w:val="006927BA"/>
    <w:rsid w:val="00693468"/>
    <w:rsid w:val="006A026C"/>
    <w:rsid w:val="006A23E9"/>
    <w:rsid w:val="006B028F"/>
    <w:rsid w:val="006C5107"/>
    <w:rsid w:val="006D4560"/>
    <w:rsid w:val="006E623F"/>
    <w:rsid w:val="006F3F15"/>
    <w:rsid w:val="006F5F4A"/>
    <w:rsid w:val="00707C34"/>
    <w:rsid w:val="0071049D"/>
    <w:rsid w:val="00714806"/>
    <w:rsid w:val="00716E6D"/>
    <w:rsid w:val="00720893"/>
    <w:rsid w:val="007245C1"/>
    <w:rsid w:val="00726E3A"/>
    <w:rsid w:val="007320EA"/>
    <w:rsid w:val="007401AB"/>
    <w:rsid w:val="00744C01"/>
    <w:rsid w:val="007464A5"/>
    <w:rsid w:val="0075036C"/>
    <w:rsid w:val="00752771"/>
    <w:rsid w:val="00757EAF"/>
    <w:rsid w:val="00765E1F"/>
    <w:rsid w:val="007722BC"/>
    <w:rsid w:val="007723D1"/>
    <w:rsid w:val="00772EE4"/>
    <w:rsid w:val="00792B82"/>
    <w:rsid w:val="007A3BB4"/>
    <w:rsid w:val="007B0CB7"/>
    <w:rsid w:val="007B3768"/>
    <w:rsid w:val="007B3FBF"/>
    <w:rsid w:val="007E37ED"/>
    <w:rsid w:val="008105FF"/>
    <w:rsid w:val="00811B62"/>
    <w:rsid w:val="00817DA0"/>
    <w:rsid w:val="00826CDB"/>
    <w:rsid w:val="00835674"/>
    <w:rsid w:val="0083748F"/>
    <w:rsid w:val="0084019B"/>
    <w:rsid w:val="008569AA"/>
    <w:rsid w:val="008656FE"/>
    <w:rsid w:val="00881A93"/>
    <w:rsid w:val="0088654D"/>
    <w:rsid w:val="008A0365"/>
    <w:rsid w:val="008A50B1"/>
    <w:rsid w:val="008A6837"/>
    <w:rsid w:val="008B02E6"/>
    <w:rsid w:val="008B2D21"/>
    <w:rsid w:val="008B2EDA"/>
    <w:rsid w:val="008B4455"/>
    <w:rsid w:val="008C3051"/>
    <w:rsid w:val="008D12E9"/>
    <w:rsid w:val="008D5A01"/>
    <w:rsid w:val="008D751C"/>
    <w:rsid w:val="008E6938"/>
    <w:rsid w:val="008F3BFF"/>
    <w:rsid w:val="0092036D"/>
    <w:rsid w:val="0092350E"/>
    <w:rsid w:val="009240D4"/>
    <w:rsid w:val="00941AFA"/>
    <w:rsid w:val="009472C9"/>
    <w:rsid w:val="00952179"/>
    <w:rsid w:val="0096101F"/>
    <w:rsid w:val="0096117C"/>
    <w:rsid w:val="00967323"/>
    <w:rsid w:val="009759EB"/>
    <w:rsid w:val="00980A97"/>
    <w:rsid w:val="0098407B"/>
    <w:rsid w:val="00985E14"/>
    <w:rsid w:val="00991F0A"/>
    <w:rsid w:val="009A4C8D"/>
    <w:rsid w:val="009C0E2A"/>
    <w:rsid w:val="009F7949"/>
    <w:rsid w:val="00A126EA"/>
    <w:rsid w:val="00A274D0"/>
    <w:rsid w:val="00A36AE0"/>
    <w:rsid w:val="00A36FA9"/>
    <w:rsid w:val="00A376BA"/>
    <w:rsid w:val="00A4185F"/>
    <w:rsid w:val="00A4200E"/>
    <w:rsid w:val="00A477C6"/>
    <w:rsid w:val="00A74A41"/>
    <w:rsid w:val="00A779D4"/>
    <w:rsid w:val="00A83C3E"/>
    <w:rsid w:val="00A90271"/>
    <w:rsid w:val="00AA388F"/>
    <w:rsid w:val="00AB79A5"/>
    <w:rsid w:val="00AC3772"/>
    <w:rsid w:val="00AC3A7D"/>
    <w:rsid w:val="00AD34BA"/>
    <w:rsid w:val="00AE1686"/>
    <w:rsid w:val="00AE1F82"/>
    <w:rsid w:val="00AE1FFB"/>
    <w:rsid w:val="00AE334F"/>
    <w:rsid w:val="00AE528B"/>
    <w:rsid w:val="00AE7179"/>
    <w:rsid w:val="00B0473B"/>
    <w:rsid w:val="00B16EEF"/>
    <w:rsid w:val="00B420C7"/>
    <w:rsid w:val="00B64E81"/>
    <w:rsid w:val="00B65BC9"/>
    <w:rsid w:val="00B67F9C"/>
    <w:rsid w:val="00B7071D"/>
    <w:rsid w:val="00B80696"/>
    <w:rsid w:val="00B86CDE"/>
    <w:rsid w:val="00B908D2"/>
    <w:rsid w:val="00B95EF0"/>
    <w:rsid w:val="00BA30B1"/>
    <w:rsid w:val="00BA6D3A"/>
    <w:rsid w:val="00BB5379"/>
    <w:rsid w:val="00BC105E"/>
    <w:rsid w:val="00BF12BE"/>
    <w:rsid w:val="00C02633"/>
    <w:rsid w:val="00C03425"/>
    <w:rsid w:val="00C04030"/>
    <w:rsid w:val="00C112E1"/>
    <w:rsid w:val="00C26691"/>
    <w:rsid w:val="00C269E5"/>
    <w:rsid w:val="00C41095"/>
    <w:rsid w:val="00C57001"/>
    <w:rsid w:val="00C722D2"/>
    <w:rsid w:val="00C83CC1"/>
    <w:rsid w:val="00C97212"/>
    <w:rsid w:val="00CA3C9D"/>
    <w:rsid w:val="00CB7937"/>
    <w:rsid w:val="00CC1783"/>
    <w:rsid w:val="00CD7B7C"/>
    <w:rsid w:val="00CE635F"/>
    <w:rsid w:val="00CF0FAC"/>
    <w:rsid w:val="00D00DB8"/>
    <w:rsid w:val="00D016F9"/>
    <w:rsid w:val="00D1235B"/>
    <w:rsid w:val="00D24CF5"/>
    <w:rsid w:val="00D30EA3"/>
    <w:rsid w:val="00D45A28"/>
    <w:rsid w:val="00D52C2C"/>
    <w:rsid w:val="00D5305C"/>
    <w:rsid w:val="00D60DCB"/>
    <w:rsid w:val="00D6258F"/>
    <w:rsid w:val="00D6579C"/>
    <w:rsid w:val="00D701F8"/>
    <w:rsid w:val="00D766F3"/>
    <w:rsid w:val="00D8237D"/>
    <w:rsid w:val="00D97892"/>
    <w:rsid w:val="00DB004C"/>
    <w:rsid w:val="00DB0EC6"/>
    <w:rsid w:val="00DC6F91"/>
    <w:rsid w:val="00DC72F9"/>
    <w:rsid w:val="00DD03E5"/>
    <w:rsid w:val="00DD54CB"/>
    <w:rsid w:val="00DE565F"/>
    <w:rsid w:val="00DE6C45"/>
    <w:rsid w:val="00E06265"/>
    <w:rsid w:val="00E2608B"/>
    <w:rsid w:val="00E31CDC"/>
    <w:rsid w:val="00E4063F"/>
    <w:rsid w:val="00E42ABA"/>
    <w:rsid w:val="00E565CD"/>
    <w:rsid w:val="00E6446C"/>
    <w:rsid w:val="00E64B1E"/>
    <w:rsid w:val="00E81729"/>
    <w:rsid w:val="00E919FF"/>
    <w:rsid w:val="00E94CA5"/>
    <w:rsid w:val="00E962C6"/>
    <w:rsid w:val="00EA35E4"/>
    <w:rsid w:val="00EA4284"/>
    <w:rsid w:val="00EF0875"/>
    <w:rsid w:val="00EF1AD2"/>
    <w:rsid w:val="00F12BDF"/>
    <w:rsid w:val="00F1388F"/>
    <w:rsid w:val="00F20BF2"/>
    <w:rsid w:val="00F25975"/>
    <w:rsid w:val="00F32F6A"/>
    <w:rsid w:val="00F43B8A"/>
    <w:rsid w:val="00F44D76"/>
    <w:rsid w:val="00F6451B"/>
    <w:rsid w:val="00F6483D"/>
    <w:rsid w:val="00F66A6F"/>
    <w:rsid w:val="00F7304E"/>
    <w:rsid w:val="00F778D2"/>
    <w:rsid w:val="00F934F0"/>
    <w:rsid w:val="00F9435D"/>
    <w:rsid w:val="00F96CAD"/>
    <w:rsid w:val="00FC2623"/>
    <w:rsid w:val="00FD0AA9"/>
    <w:rsid w:val="00FD398F"/>
    <w:rsid w:val="00FF5A7C"/>
    <w:rsid w:val="00FF73C5"/>
    <w:rsid w:val="153E6C6A"/>
    <w:rsid w:val="1A6F51DF"/>
    <w:rsid w:val="21644944"/>
    <w:rsid w:val="276314C9"/>
    <w:rsid w:val="2C2317DA"/>
    <w:rsid w:val="2CB45AF6"/>
    <w:rsid w:val="35B90658"/>
    <w:rsid w:val="3B2F295F"/>
    <w:rsid w:val="3DAB17BA"/>
    <w:rsid w:val="3F494A41"/>
    <w:rsid w:val="3FA937FE"/>
    <w:rsid w:val="41676324"/>
    <w:rsid w:val="42E1558E"/>
    <w:rsid w:val="45E1771D"/>
    <w:rsid w:val="4890601F"/>
    <w:rsid w:val="4CBD4DD9"/>
    <w:rsid w:val="4E7E276A"/>
    <w:rsid w:val="528142AD"/>
    <w:rsid w:val="573632A1"/>
    <w:rsid w:val="61AE1A11"/>
    <w:rsid w:val="6F1C43D6"/>
    <w:rsid w:val="73715675"/>
    <w:rsid w:val="7D507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table" w:styleId="4">
    <w:name w:val="Table Grid"/>
    <w:basedOn w:val="3"/>
    <w:qFormat/>
    <w:uiPriority w:val="59"/>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949</Words>
  <Characters>5414</Characters>
  <Lines>45</Lines>
  <Paragraphs>12</Paragraphs>
  <TotalTime>15</TotalTime>
  <ScaleCrop>false</ScaleCrop>
  <LinksUpToDate>false</LinksUpToDate>
  <CharactersWithSpaces>6351</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2023-11-25T01:21:00Z</dcterms:created>
  <dc:creator>pc</dc:creator>
  <cp:lastModifiedBy>DELL</cp:lastModifiedBy>
  <dcterms:modified xsi:type="dcterms:W3CDTF">2023-12-11T02:51:09Z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CA588B52FBD04B56BDACBA9E7B881689_12</vt:lpwstr>
  </property>
</Properties>
</file>